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spacing w:before="0" w:after="165"/>
        <w:ind w:left="240" w:right="0" w:firstLine="0"/>
      </w:pPr>
      <w:r>
        <w:rPr>
          <w:lang w:val="ru-RU" w:eastAsia="ru-RU" w:bidi="ru-RU"/>
          <w:w w:val="100"/>
          <w:color w:val="000000"/>
          <w:position w:val="0"/>
        </w:rPr>
        <w:t>МИНИСТЕРСТВО ОБРАЗОВАНИЯ ОРЕНБУРГСКОЙ ОБЛАСТИ</w:t>
      </w:r>
    </w:p>
    <w:p>
      <w:pPr>
        <w:pStyle w:val="Style5"/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spacing w:before="0" w:after="862" w:line="300" w:lineRule="exact"/>
        <w:ind w:left="24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ПРИКАЗ</w:t>
      </w:r>
      <w:bookmarkEnd w:id="0"/>
    </w:p>
    <w:p>
      <w:pPr>
        <w:pStyle w:val="Style7"/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jc w:val="left"/>
        <w:spacing w:before="0" w:after="293"/>
        <w:ind w:left="420" w:right="538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I Об утверждении «дорожной карты» по подготовке и проведению НИКО, ВПР</w:t>
      </w:r>
    </w:p>
    <w:p>
      <w:pPr>
        <w:pStyle w:val="Style7"/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jc w:val="both"/>
        <w:spacing w:before="0" w:after="420" w:line="490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В целях реализации региональной системы оценки качества образования в 2017-2018 учебном году, обеспечения объективности проведения независимых оценочных процедур Национального исследования качества образования (далее - НИКО), Всероссийских проверочных работ (далее - ВПР) и анализа их результатов</w:t>
      </w:r>
    </w:p>
    <w:p>
      <w:pPr>
        <w:pStyle w:val="Style7"/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20" w:right="0" w:firstLine="700"/>
      </w:pPr>
      <w:r>
        <w:rPr>
          <w:rStyle w:val="CharStyle9"/>
        </w:rPr>
        <w:t>приказ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</w:t>
      </w:r>
      <w:r>
        <w:rPr>
          <w:rStyle w:val="CharStyle9"/>
        </w:rPr>
        <w:t>ыва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ю:</w:t>
      </w:r>
    </w:p>
    <w:p>
      <w:pPr>
        <w:pStyle w:val="Style7"/>
        <w:numPr>
          <w:ilvl w:val="0"/>
          <w:numId w:val="1"/>
        </w:numPr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Утвердить «дорожную карту» по подготовке и проведению НИКО, ВПР в общеобразовательных организациях Оренбургской области (далее - ОО) согласно приложению к настоящему приказу.</w:t>
      </w:r>
    </w:p>
    <w:p>
      <w:pPr>
        <w:pStyle w:val="Style7"/>
        <w:numPr>
          <w:ilvl w:val="0"/>
          <w:numId w:val="1"/>
        </w:numPr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20" w:right="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Отделу общего образования обеспечить:</w:t>
      </w:r>
    </w:p>
    <w:p>
      <w:pPr>
        <w:pStyle w:val="Style7"/>
        <w:numPr>
          <w:ilvl w:val="1"/>
          <w:numId w:val="1"/>
        </w:numPr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рассмотрение вопросов, связанных с исполнением «дорожной карты», на совещаниях руководителей муниципальных органов, осуществляющих управление в сфере образования (далее - МОУО);</w:t>
      </w:r>
    </w:p>
    <w:p>
      <w:pPr>
        <w:pStyle w:val="Style7"/>
        <w:numPr>
          <w:ilvl w:val="1"/>
          <w:numId w:val="1"/>
        </w:numPr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контроль реализации мероприятий «дорожной карты» на региональном уровне.</w:t>
      </w:r>
    </w:p>
    <w:p>
      <w:pPr>
        <w:pStyle w:val="Style7"/>
        <w:numPr>
          <w:ilvl w:val="0"/>
          <w:numId w:val="1"/>
        </w:numPr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Государственному бюджетному учреждению «Региональный центр развития образования Оренбургской области» обеспечить:</w:t>
      </w:r>
    </w:p>
    <w:p>
      <w:pPr>
        <w:pStyle w:val="Style7"/>
        <w:numPr>
          <w:ilvl w:val="1"/>
          <w:numId w:val="1"/>
        </w:numPr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86" w:lineRule="exact"/>
        <w:ind w:left="20" w:right="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выполнение мероприятий, предусмотренных «дорожной картой»;</w:t>
      </w:r>
    </w:p>
    <w:p>
      <w:pPr>
        <w:pStyle w:val="Style7"/>
        <w:numPr>
          <w:ilvl w:val="1"/>
          <w:numId w:val="1"/>
        </w:numPr>
        <w:framePr w:w="9112" w:h="13647" w:hRule="exact" w:wrap="around" w:vAnchor="page" w:hAnchor="page" w:x="1401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86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сопровождение реализации НИКО, ВПР в качестве регионального координатора;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119" w:h="7725" w:hRule="exact" w:wrap="around" w:vAnchor="page" w:hAnchor="page" w:x="1397" w:y="1616"/>
        <w:tabs>
          <w:tab w:leader="none" w:pos="1379" w:val="left"/>
          <w:tab w:leader="none" w:pos="910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70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3.3.</w:t>
        <w:tab/>
        <w:t>подготовку статистических</w:t>
        <w:tab/>
        <w:t>результатов и методических</w:t>
      </w:r>
    </w:p>
    <w:p>
      <w:pPr>
        <w:pStyle w:val="Style7"/>
        <w:framePr w:w="9119" w:h="7725" w:hRule="exact" w:wrap="around" w:vAnchor="page" w:hAnchor="page" w:x="1397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рекомендаций по итогам проведения НИКО, ВПР.</w:t>
      </w:r>
    </w:p>
    <w:p>
      <w:pPr>
        <w:pStyle w:val="Style7"/>
        <w:numPr>
          <w:ilvl w:val="0"/>
          <w:numId w:val="1"/>
        </w:numPr>
        <w:framePr w:w="9119" w:h="7725" w:hRule="exact" w:wrap="around" w:vAnchor="page" w:hAnchor="page" w:x="1397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70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Руководителям МОУО рекомендовать обеспечить:</w:t>
      </w:r>
    </w:p>
    <w:p>
      <w:pPr>
        <w:pStyle w:val="Style7"/>
        <w:numPr>
          <w:ilvl w:val="1"/>
          <w:numId w:val="1"/>
        </w:numPr>
        <w:framePr w:w="9119" w:h="7725" w:hRule="exact" w:wrap="around" w:vAnchor="page" w:hAnchor="page" w:x="1397" w:y="1616"/>
        <w:tabs>
          <w:tab w:leader="none" w:pos="1379" w:val="left"/>
          <w:tab w:leader="none" w:pos="910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70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своевременное доведение</w:t>
        <w:tab/>
        <w:t>информации о мероприятиях</w:t>
      </w:r>
    </w:p>
    <w:p>
      <w:pPr>
        <w:pStyle w:val="Style7"/>
        <w:framePr w:w="9119" w:h="7725" w:hRule="exact" w:wrap="around" w:vAnchor="page" w:hAnchor="page" w:x="1397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«дорожной карты» до руководителей 00, педагогов, обучающихся, родителей (законных представителей);</w:t>
      </w:r>
    </w:p>
    <w:p>
      <w:pPr>
        <w:pStyle w:val="Style7"/>
        <w:numPr>
          <w:ilvl w:val="1"/>
          <w:numId w:val="1"/>
        </w:numPr>
        <w:framePr w:w="9119" w:h="7725" w:hRule="exact" w:wrap="around" w:vAnchor="page" w:hAnchor="page" w:x="1397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70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выполнение мероприятий, предусмотренных «дорожной картой»;</w:t>
      </w:r>
    </w:p>
    <w:p>
      <w:pPr>
        <w:pStyle w:val="Style7"/>
        <w:numPr>
          <w:ilvl w:val="1"/>
          <w:numId w:val="1"/>
        </w:numPr>
        <w:framePr w:w="9119" w:h="7725" w:hRule="exact" w:wrap="around" w:vAnchor="page" w:hAnchor="page" w:x="1397" w:y="1616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использование результатов независимых оценочных процедур НИКО, ВПР для совершенствования образовательной деятельности.</w:t>
      </w:r>
    </w:p>
    <w:p>
      <w:pPr>
        <w:pStyle w:val="Style7"/>
        <w:numPr>
          <w:ilvl w:val="0"/>
          <w:numId w:val="1"/>
        </w:numPr>
        <w:framePr w:w="9119" w:h="7725" w:hRule="exact" w:wrap="around" w:vAnchor="page" w:hAnchor="page" w:x="1397" w:y="1616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Управлению контроля и надзора, лицензирования и аккредитации образовательных организаций Оренбургской области обеспечить:</w:t>
      </w:r>
    </w:p>
    <w:p>
      <w:pPr>
        <w:pStyle w:val="Style7"/>
        <w:numPr>
          <w:ilvl w:val="1"/>
          <w:numId w:val="1"/>
        </w:numPr>
        <w:framePr w:w="9119" w:h="7725" w:hRule="exact" w:wrap="around" w:vAnchor="page" w:hAnchor="page" w:x="1397" w:y="1616"/>
        <w:tabs>
          <w:tab w:leader="none" w:pos="1379" w:val="left"/>
          <w:tab w:leader="none" w:pos="910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70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выполнение мероприятий</w:t>
        <w:tab/>
        <w:t>«дорожной карты» в рамках</w:t>
      </w:r>
    </w:p>
    <w:p>
      <w:pPr>
        <w:pStyle w:val="Style7"/>
        <w:framePr w:w="9119" w:h="7725" w:hRule="exact" w:wrap="around" w:vAnchor="page" w:hAnchor="page" w:x="1397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компетенции;</w:t>
      </w:r>
    </w:p>
    <w:p>
      <w:pPr>
        <w:pStyle w:val="Style7"/>
        <w:numPr>
          <w:ilvl w:val="1"/>
          <w:numId w:val="1"/>
        </w:numPr>
        <w:framePr w:w="9119" w:h="7725" w:hRule="exact" w:wrap="around" w:vAnchor="page" w:hAnchor="page" w:x="1397" w:y="1616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70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контроль за объективностью проведения НИКО, ВПР.</w:t>
      </w:r>
    </w:p>
    <w:p>
      <w:pPr>
        <w:pStyle w:val="Style7"/>
        <w:numPr>
          <w:ilvl w:val="0"/>
          <w:numId w:val="1"/>
        </w:numPr>
        <w:framePr w:w="9119" w:h="7725" w:hRule="exact" w:wrap="around" w:vAnchor="page" w:hAnchor="page" w:x="1397" w:y="1616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Контроль за исполнением настоящего приказа возложить на первого заместителя </w:t>
      </w:r>
      <w:r>
        <w:rPr>
          <w:rStyle w:val="CharStyle10"/>
        </w:rPr>
        <w:t xml:space="preserve">министра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Сафонову Г.И.</w:t>
      </w:r>
    </w:p>
    <w:p>
      <w:pPr>
        <w:framePr w:wrap="none" w:vAnchor="page" w:hAnchor="page" w:x="4886" w:y="977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7pt;height:50pt;">
            <v:imagedata r:id="rId5" r:href="rId6"/>
          </v:shape>
        </w:pict>
      </w:r>
    </w:p>
    <w:p>
      <w:pPr>
        <w:pStyle w:val="Style11"/>
        <w:framePr w:wrap="around" w:vAnchor="page" w:hAnchor="page" w:x="5825" w:y="9687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13"/>
        </w:rPr>
        <w:t>•7</w:t>
      </w:r>
    </w:p>
    <w:p>
      <w:pPr>
        <w:pStyle w:val="Style7"/>
        <w:framePr w:wrap="around" w:vAnchor="page" w:hAnchor="page" w:x="1397" w:y="1047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8028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Министр</w:t>
      </w:r>
    </w:p>
    <w:p>
      <w:pPr>
        <w:pStyle w:val="Style14"/>
        <w:framePr w:wrap="around" w:vAnchor="page" w:hAnchor="page" w:x="8828" w:y="1048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В.А. Лабузов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15037" w:h="2600" w:hRule="exact" w:wrap="around" w:vAnchor="page" w:hAnchor="page" w:x="901" w:y="158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1100" w:right="78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Приложение к приказу министерства образования Оренбургской области</w:t>
      </w:r>
    </w:p>
    <w:p>
      <w:pPr>
        <w:pStyle w:val="Style7"/>
        <w:framePr w:w="15037" w:h="2600" w:hRule="exact" w:wrap="around" w:vAnchor="page" w:hAnchor="page" w:x="901" w:y="1583"/>
        <w:tabs>
          <w:tab w:leader="none" w:pos="12598" w:val="left"/>
          <w:tab w:leader="none" w:pos="1470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62" w:line="317" w:lineRule="exact"/>
        <w:ind w:left="1110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от</w:t>
      </w:r>
      <w:r>
        <w:rPr>
          <w:rStyle w:val="CharStyle16"/>
        </w:rPr>
        <w:t xml:space="preserve">/ </w:t>
      </w:r>
      <w:r>
        <w:rPr>
          <w:rStyle w:val="CharStyle17"/>
        </w:rPr>
        <w:t>Я</w:t>
        <w:tab/>
      </w:r>
      <w:r>
        <w:rPr>
          <w:rStyle w:val="CharStyle17"/>
          <w:lang w:val="en-US" w:eastAsia="en-US" w:bidi="en-US"/>
        </w:rPr>
        <w:t>r</w:t>
      </w:r>
      <w:r>
        <w:rPr>
          <w:rStyle w:val="CharStyle18"/>
        </w:rPr>
        <w:t xml:space="preserve">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№</w:t>
        <w:tab/>
      </w:r>
      <w:r>
        <w:rPr>
          <w:rStyle w:val="CharStyle19"/>
        </w:rPr>
        <w:t>^</w:t>
      </w:r>
    </w:p>
    <w:p>
      <w:pPr>
        <w:pStyle w:val="Style7"/>
        <w:framePr w:w="15037" w:h="2600" w:hRule="exact" w:wrap="around" w:vAnchor="page" w:hAnchor="page" w:x="901" w:y="1583"/>
        <w:widowControl w:val="0"/>
        <w:keepNext w:val="0"/>
        <w:keepLines w:val="0"/>
        <w:shd w:val="clear" w:color="auto" w:fill="auto"/>
        <w:bidi w:val="0"/>
        <w:jc w:val="center"/>
        <w:spacing w:before="0" w:after="14" w:line="240" w:lineRule="exact"/>
        <w:ind w:left="34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Дорожная карта</w:t>
      </w:r>
    </w:p>
    <w:p>
      <w:pPr>
        <w:pStyle w:val="Style7"/>
        <w:framePr w:w="15037" w:h="2600" w:hRule="exact" w:wrap="around" w:vAnchor="page" w:hAnchor="page" w:x="901" w:y="1583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34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по подготовке и проведению НИКО, ВПР в общеобразовательных организациях Оренбургской области</w:t>
      </w:r>
    </w:p>
    <w:tbl>
      <w:tblPr>
        <w:tblOverlap w:val="never"/>
        <w:tblLayout w:type="fixed"/>
        <w:jc w:val="left"/>
      </w:tblPr>
      <w:tblGrid>
        <w:gridCol w:w="950"/>
        <w:gridCol w:w="7142"/>
        <w:gridCol w:w="3254"/>
        <w:gridCol w:w="3409"/>
      </w:tblGrid>
      <w:tr>
        <w:trPr>
          <w:trHeight w:val="3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" w:firstLine="0"/>
            </w:pPr>
            <w:r>
              <w:rPr>
                <w:rStyle w:val="CharStyle2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Сроки реализации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исполнители</w:t>
            </w:r>
          </w:p>
        </w:tc>
      </w:tr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6" w:h="5195" w:wrap="around" w:vAnchor="page" w:hAnchor="page" w:x="905" w:y="50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1. Информационное сопровождение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56" w:h="5195" w:wrap="around" w:vAnchor="page" w:hAnchor="page" w:x="905" w:y="50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56" w:h="5195" w:wrap="around" w:vAnchor="page" w:hAnchor="page" w:x="905" w:y="5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" w:firstLine="0"/>
            </w:pPr>
            <w:r>
              <w:rPr>
                <w:rStyle w:val="CharStyle20"/>
              </w:rPr>
              <w:t>1.1.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Доведение до сведения МОУО, ОО информации (приказы и письма Минобрнауки России, Рособрнадзора, министер</w:t>
              <w:softHyphen/>
              <w:t>ства образования Оренбургской области) по вопросам ор</w:t>
              <w:softHyphen/>
              <w:t>ганизации и проведения НИКО, ВПР в установленные сроки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 течение 2017/218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Отдел общего образова</w:t>
              <w:softHyphen/>
              <w:t>ния, МОУО</w:t>
            </w:r>
          </w:p>
        </w:tc>
      </w:tr>
      <w:tr>
        <w:trPr>
          <w:trHeight w:val="16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" w:firstLine="0"/>
            </w:pPr>
            <w:r>
              <w:rPr>
                <w:rStyle w:val="CharStyle20"/>
              </w:rPr>
              <w:t>1.2.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Размещение на официальных сайтах министерства образо</w:t>
              <w:softHyphen/>
              <w:t>вания Оренбургской области, МОУО, ОО информации об организации и проведения НИКО,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Не позднее 7 дней после официального поступле</w:t>
              <w:softHyphen/>
              <w:t>ния информации, в течение 2017/218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Отдел общего образова</w:t>
              <w:softHyphen/>
              <w:t>ния, МОУО, ОО</w:t>
            </w:r>
          </w:p>
        </w:tc>
      </w:tr>
      <w:tr>
        <w:trPr>
          <w:trHeight w:val="1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" w:firstLine="0"/>
            </w:pPr>
            <w:r>
              <w:rPr>
                <w:rStyle w:val="CharStyle20"/>
              </w:rPr>
              <w:t>1.3.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Создание и своевременное обновление на официальном сайте РЦРО раздела по подготовке учащихся на уровнях начального, основного и среднего общего образования к НИКО,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 течение 2017/218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56" w:h="5195" w:wrap="around" w:vAnchor="page" w:hAnchor="page" w:x="905" w:y="50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РЦРО</w:t>
            </w:r>
          </w:p>
        </w:tc>
      </w:tr>
    </w:tbl>
    <w:p>
      <w:pPr>
        <w:pStyle w:val="Style22"/>
        <w:framePr w:wrap="around" w:vAnchor="page" w:hAnchor="page" w:x="8151" w:y="1050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61"/>
        <w:gridCol w:w="7142"/>
        <w:gridCol w:w="3247"/>
        <w:gridCol w:w="3416"/>
      </w:tblGrid>
      <w:tr>
        <w:trPr>
          <w:trHeight w:val="13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00" w:firstLine="0"/>
            </w:pPr>
            <w:r>
              <w:rPr>
                <w:rStyle w:val="CharStyle20"/>
              </w:rPr>
              <w:t>1.4.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Информационно-разъяснительная работа с участниками образовательных отношений об организации и проведении НИКО, ВПР в ходе проведения совещаний, собраний, классных часов, консультаций и т.д.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 течение 2017/218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Отдел общего образова</w:t>
              <w:softHyphen/>
              <w:t>ния, управление контроля и надзора, МОУО, ОО</w:t>
            </w:r>
          </w:p>
        </w:tc>
      </w:tr>
      <w:tr>
        <w:trPr>
          <w:trHeight w:val="6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00" w:firstLine="0"/>
            </w:pPr>
            <w:r>
              <w:rPr>
                <w:rStyle w:val="CharStyle20"/>
              </w:rPr>
              <w:t>1.5.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Оформление в ОО информационных стендов по вопросам содержания НИКО,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Ноябрь 2017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ОО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7" w:h="8802" w:wrap="around" w:vAnchor="page" w:hAnchor="page" w:x="1203" w:y="16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3" w:lineRule="exact"/>
              <w:ind w:left="800" w:right="0" w:hanging="360"/>
            </w:pPr>
            <w:r>
              <w:rPr>
                <w:rStyle w:val="CharStyle24"/>
              </w:rPr>
              <w:t>2. Нормативно-правовое, методическое и психоло- го-педагогическое сопровождение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67" w:h="8802" w:wrap="around" w:vAnchor="page" w:hAnchor="page" w:x="1203" w:y="16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67" w:h="8802" w:wrap="around" w:vAnchor="page" w:hAnchor="page" w:x="1203" w:y="16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00" w:firstLine="0"/>
            </w:pPr>
            <w:r>
              <w:rPr>
                <w:rStyle w:val="CharStyle20"/>
              </w:rPr>
              <w:t>2.1.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Подготовка статистического анализа результатов НИКО,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МОУО, РЦРО</w:t>
            </w:r>
          </w:p>
        </w:tc>
      </w:tr>
      <w:tr>
        <w:trPr>
          <w:trHeight w:val="9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00" w:firstLine="0"/>
            </w:pPr>
            <w:r>
              <w:rPr>
                <w:rStyle w:val="CharStyle20"/>
              </w:rPr>
              <w:t>2.2.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Издание приказов об организации, подготовке, проведе</w:t>
              <w:softHyphen/>
              <w:t>нии и итогах НИКО, ВПР с предложениями и рекоменда</w:t>
              <w:softHyphen/>
              <w:t>циями по дальнейшему совершенствованию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Отдел общего образова</w:t>
              <w:softHyphen/>
              <w:t>ния, управление контроля и надзора, МОУО, ОО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00" w:firstLine="0"/>
            </w:pPr>
            <w:r>
              <w:rPr>
                <w:rStyle w:val="CharStyle20"/>
              </w:rPr>
              <w:t>2.3.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Разработка методических рекомендаций по подготовке к участию в ВПР по соответствующим учебным предметам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РЦРО</w:t>
            </w:r>
          </w:p>
        </w:tc>
      </w:tr>
      <w:tr>
        <w:trPr>
          <w:trHeight w:val="16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00" w:firstLine="0"/>
            </w:pPr>
            <w:r>
              <w:rPr>
                <w:rStyle w:val="CharStyle20"/>
              </w:rPr>
              <w:t>2.4.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Организация и проведение методических объединений учителей-предметников по вопросам:</w:t>
            </w:r>
          </w:p>
          <w:p>
            <w:pPr>
              <w:pStyle w:val="Style7"/>
              <w:numPr>
                <w:ilvl w:val="0"/>
                <w:numId w:val="3"/>
              </w:numPr>
              <w:framePr w:w="14767" w:h="8802" w:wrap="around" w:vAnchor="page" w:hAnchor="page" w:x="1203" w:y="1624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подготовки и проведения НИКО, ВПР;</w:t>
            </w:r>
          </w:p>
          <w:p>
            <w:pPr>
              <w:pStyle w:val="Style7"/>
              <w:numPr>
                <w:ilvl w:val="0"/>
                <w:numId w:val="3"/>
              </w:numPr>
              <w:framePr w:w="14767" w:h="8802" w:wrap="around" w:vAnchor="page" w:hAnchor="page" w:x="1203" w:y="1624"/>
              <w:tabs>
                <w:tab w:leader="none" w:pos="14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структуры и содержания оценочных процедур,</w:t>
            </w:r>
          </w:p>
          <w:p>
            <w:pPr>
              <w:pStyle w:val="Style7"/>
              <w:numPr>
                <w:ilvl w:val="0"/>
                <w:numId w:val="3"/>
              </w:numPr>
              <w:framePr w:w="14767" w:h="8802" w:wrap="around" w:vAnchor="page" w:hAnchor="page" w:x="1203" w:y="1624"/>
              <w:tabs>
                <w:tab w:leader="none" w:pos="14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системы оценивания результатов НИКО,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В течение 2017/218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РЦРО, ОО</w:t>
            </w:r>
          </w:p>
        </w:tc>
      </w:tr>
      <w:tr>
        <w:trPr>
          <w:trHeight w:val="9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00" w:firstLine="0"/>
            </w:pPr>
            <w:r>
              <w:rPr>
                <w:rStyle w:val="CharStyle20"/>
              </w:rPr>
              <w:t>2.5.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Выявление проблемных зон по результатам НИКО, ВПР, оказание адресной методической помощи ОО, показавшим низкие результаты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В течение 2017/218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Отдел общего образова</w:t>
              <w:softHyphen/>
              <w:t>ния, МОУО, РЦРО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00" w:firstLine="0"/>
            </w:pPr>
            <w:r>
              <w:rPr>
                <w:rStyle w:val="CharStyle20"/>
              </w:rPr>
              <w:t>2.6.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Внесение изменений в рабочие программы учебных пред</w:t>
              <w:softHyphen/>
              <w:t>метов на основе анализа НИКО,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 течение 2017/218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ОО</w:t>
            </w:r>
          </w:p>
        </w:tc>
      </w:tr>
      <w:tr>
        <w:trPr>
          <w:trHeight w:val="73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00" w:firstLine="0"/>
            </w:pPr>
            <w:r>
              <w:rPr>
                <w:rStyle w:val="CharStyle20"/>
              </w:rPr>
              <w:t>2.7.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Выявление проблем в формировании базовых предметных компетенций по учебным предметам, выявление учащихся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В течение 2017/218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67" w:h="8802" w:wrap="around" w:vAnchor="page" w:hAnchor="page" w:x="1203" w:y="162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ОО</w:t>
            </w:r>
          </w:p>
        </w:tc>
      </w:tr>
    </w:tbl>
    <w:p>
      <w:pPr>
        <w:pStyle w:val="Style22"/>
        <w:framePr w:wrap="around" w:vAnchor="page" w:hAnchor="page" w:x="8461" w:y="1053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58"/>
        <w:gridCol w:w="7132"/>
        <w:gridCol w:w="3247"/>
        <w:gridCol w:w="3388"/>
      </w:tblGrid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4" w:h="8802" w:wrap="around" w:vAnchor="page" w:hAnchor="page" w:x="996" w:y="13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«группы риска», создание индивидуальных образователь</w:t>
              <w:softHyphen/>
              <w:t>ных маршрутов с учетом дифференцированного подхода к обучению школьников.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4" w:h="8802" w:wrap="around" w:vAnchor="page" w:hAnchor="page" w:x="996" w:y="13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4" w:h="8802" w:wrap="around" w:vAnchor="page" w:hAnchor="page" w:x="996" w:y="13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00" w:firstLine="0"/>
            </w:pPr>
            <w:r>
              <w:rPr>
                <w:rStyle w:val="CharStyle20"/>
              </w:rPr>
              <w:t>2.8.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Организация психолого-педагогического сопровождения подготовки обучающихся к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ОО</w:t>
            </w:r>
          </w:p>
        </w:tc>
      </w:tr>
      <w:tr>
        <w:trPr>
          <w:trHeight w:val="12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00" w:firstLine="0"/>
            </w:pPr>
            <w:r>
              <w:rPr>
                <w:rStyle w:val="CharStyle20"/>
              </w:rPr>
              <w:t>2.9.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Организация в рамках внутришкольного контроля мони</w:t>
              <w:softHyphen/>
              <w:t>торинга подготовки обучающихся к ВПР на уровнях начального, основного общего и среднего общего образо</w:t>
              <w:softHyphen/>
              <w:t>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00</w:t>
            </w:r>
          </w:p>
        </w:tc>
      </w:tr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4" w:h="8802" w:wrap="around" w:vAnchor="page" w:hAnchor="page" w:x="996" w:y="13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24"/>
              </w:rPr>
              <w:t>3. Организационно-технологическое обеспечение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4" w:h="8802" w:wrap="around" w:vAnchor="page" w:hAnchor="page" w:x="996" w:y="13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4" w:h="8802" w:wrap="around" w:vAnchor="page" w:hAnchor="page" w:x="996" w:y="13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3.1.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00" w:right="0" w:firstLine="0"/>
            </w:pPr>
            <w:r>
              <w:rPr>
                <w:rStyle w:val="CharStyle20"/>
              </w:rPr>
              <w:t>Организация проведения НИКО,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Отдел общего образова</w:t>
              <w:softHyphen/>
              <w:t>ния, РЦРО</w:t>
            </w:r>
          </w:p>
        </w:tc>
      </w:tr>
      <w:tr>
        <w:trPr>
          <w:trHeight w:val="9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3.2.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Издание приказов об утверждении работников, привле</w:t>
              <w:softHyphen/>
              <w:t>ченных для организации НИКО, ВПР, общественных наблюдателей согласно регламентам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00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3.3.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Назначение регионального, муниципальных и школьных координаторов за проведением НИКО,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Октябрь 2017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Отдел общего образова</w:t>
              <w:softHyphen/>
              <w:t>ния, МОУО, ОО</w:t>
            </w:r>
          </w:p>
        </w:tc>
      </w:tr>
      <w:tr>
        <w:trPr>
          <w:trHeight w:val="6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3.4.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Внесение сведений для формирования и ведения инфор</w:t>
              <w:softHyphen/>
              <w:t>мационной системы проведения НИКО,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РЦРО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3.5.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Получение результатов НИКО, ВПР по соответствующе</w:t>
              <w:softHyphen/>
              <w:t>му предмету через официальный интернет-портал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РЦРО</w:t>
            </w:r>
          </w:p>
        </w:tc>
      </w:tr>
      <w:tr>
        <w:trPr>
          <w:trHeight w:val="6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3.6.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Практическая отработка учащимися 00 правил оформле</w:t>
              <w:softHyphen/>
              <w:t>ния работ НИКО,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ОО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4" w:h="8802" w:wrap="around" w:vAnchor="page" w:hAnchor="page" w:x="996" w:y="13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24"/>
              </w:rPr>
              <w:t>4. Контроль за проведением ВПР и НИКО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4" w:h="8802" w:wrap="around" w:vAnchor="page" w:hAnchor="page" w:x="996" w:y="13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24" w:h="8802" w:wrap="around" w:vAnchor="page" w:hAnchor="page" w:x="996" w:y="139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4.1.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Обеспечение внутришкольного контроля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ОО</w:t>
            </w: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4.2.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Включение в план проверок на следующий финансовый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Август текущего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724" w:h="8802" w:wrap="around" w:vAnchor="page" w:hAnchor="page" w:x="996" w:y="139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Управление контроля и</w:t>
            </w:r>
          </w:p>
        </w:tc>
      </w:tr>
    </w:tbl>
    <w:p>
      <w:pPr>
        <w:pStyle w:val="Style22"/>
        <w:framePr w:wrap="around" w:vAnchor="page" w:hAnchor="page" w:x="8221" w:y="1031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50"/>
        <w:gridCol w:w="7142"/>
        <w:gridCol w:w="3244"/>
        <w:gridCol w:w="3373"/>
      </w:tblGrid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0" w:h="4230" w:wrap="around" w:vAnchor="page" w:hAnchor="page" w:x="1127" w:y="144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год ОО с «сомнительными результатами»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0" w:h="4230" w:wrap="around" w:vAnchor="page" w:hAnchor="page" w:x="1127" w:y="144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надзора</w:t>
            </w:r>
          </w:p>
        </w:tc>
      </w:tr>
      <w:tr>
        <w:trPr>
          <w:trHeight w:val="6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4.3.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Осуществление текущего контроля за ходом проведения НИКО, ВПР в течение 2017/218 учебного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 соответствии с графи</w:t>
              <w:softHyphen/>
              <w:t>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Управление контроля и надзора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4.4.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Включение вопросов организации и проведение НИКО, ВПР в предмет плановых проверок МОУО, 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 течение 2017/218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Управление контроля и надзора</w:t>
            </w:r>
          </w:p>
        </w:tc>
      </w:tr>
      <w:tr>
        <w:trPr>
          <w:trHeight w:val="9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4.5.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20"/>
              </w:rPr>
              <w:t>Мониторинг сайтов МОУО, ОО с целью контроля за свое</w:t>
              <w:softHyphen/>
              <w:t>временным размещением информации об итогах НИКО, ВПР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В течение 2017/218 учебного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Управление контроля и надзора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4.6.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Анализ результатов и подведение итогов ВПР и НИКО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По мере поступления ре</w:t>
              <w:softHyphen/>
              <w:t>зультатов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РЦРО, МОУО, ОО</w:t>
            </w:r>
          </w:p>
        </w:tc>
      </w:tr>
      <w:tr>
        <w:trPr>
          <w:trHeight w:val="9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0"/>
              </w:rPr>
              <w:t>4.7.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Анализ выполнения дорожной карты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Август 2018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4710" w:h="4230" w:wrap="around" w:vAnchor="page" w:hAnchor="page" w:x="1127" w:y="144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0"/>
              </w:rPr>
              <w:t>Управление контроля и надзора, отдел общего об</w:t>
              <w:softHyphen/>
              <w:t>разования, РЦРО</w:t>
            </w:r>
          </w:p>
        </w:tc>
      </w:tr>
    </w:tbl>
    <w:p>
      <w:pPr>
        <w:pStyle w:val="Style22"/>
        <w:framePr w:wrap="around" w:vAnchor="page" w:hAnchor="page" w:x="8327" w:y="1033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11909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6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6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6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6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113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"/>
    </w:rPr>
  </w:style>
  <w:style w:type="character" w:customStyle="1" w:styleId="CharStyle9">
    <w:name w:val="Основной текст + Интервал 4 pt"/>
    <w:basedOn w:val="CharStyle8"/>
    <w:rPr>
      <w:lang w:val="ru-RU" w:eastAsia="ru-RU" w:bidi="ru-RU"/>
      <w:sz w:val="24"/>
      <w:szCs w:val="24"/>
      <w:w w:val="100"/>
      <w:spacing w:val="89"/>
      <w:color w:val="000000"/>
      <w:position w:val="0"/>
    </w:rPr>
  </w:style>
  <w:style w:type="character" w:customStyle="1" w:styleId="CharStyle10">
    <w:name w:val="Основной текст + Candara,10 pt,Интервал 0 pt"/>
    <w:basedOn w:val="CharStyle8"/>
    <w:rPr>
      <w:lang w:val="ru-RU" w:eastAsia="ru-RU" w:bidi="ru-RU"/>
      <w:sz w:val="20"/>
      <w:szCs w:val="20"/>
      <w:rFonts w:ascii="Candara" w:eastAsia="Candara" w:hAnsi="Candara" w:cs="Candara"/>
      <w:w w:val="100"/>
      <w:spacing w:val="10"/>
      <w:color w:val="000000"/>
      <w:position w:val="0"/>
    </w:rPr>
  </w:style>
  <w:style w:type="character" w:customStyle="1" w:styleId="CharStyle12">
    <w:name w:val="Подпись к картинке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1"/>
      <w:szCs w:val="11"/>
      <w:rFonts w:ascii="Bookman Old Style" w:eastAsia="Bookman Old Style" w:hAnsi="Bookman Old Style" w:cs="Bookman Old Style"/>
      <w:spacing w:val="-5"/>
    </w:rPr>
  </w:style>
  <w:style w:type="character" w:customStyle="1" w:styleId="CharStyle13">
    <w:name w:val="Подпись к картинке (2)"/>
    <w:basedOn w:val="CharStyle12"/>
    <w:rPr>
      <w:lang w:val="ru-RU" w:eastAsia="ru-RU" w:bidi="ru-RU"/>
      <w:w w:val="100"/>
      <w:color w:val="000000"/>
      <w:position w:val="0"/>
    </w:rPr>
  </w:style>
  <w:style w:type="character" w:customStyle="1" w:styleId="CharStyle15">
    <w:name w:val="Подпись к картинке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"/>
    </w:rPr>
  </w:style>
  <w:style w:type="character" w:customStyle="1" w:styleId="CharStyle16">
    <w:name w:val="Основной текст"/>
    <w:basedOn w:val="CharStyle8"/>
    <w:rPr>
      <w:lang w:val="ru-RU" w:eastAsia="ru-RU" w:bidi="ru-RU"/>
      <w:u w:val="single"/>
      <w:sz w:val="24"/>
      <w:szCs w:val="24"/>
      <w:w w:val="100"/>
      <w:color w:val="000000"/>
      <w:position w:val="0"/>
    </w:rPr>
  </w:style>
  <w:style w:type="character" w:customStyle="1" w:styleId="CharStyle17">
    <w:name w:val="Основной текст"/>
    <w:basedOn w:val="CharStyle8"/>
    <w:rPr>
      <w:lang w:val="ru-RU" w:eastAsia="ru-RU" w:bidi="ru-RU"/>
      <w:u w:val="single"/>
      <w:sz w:val="24"/>
      <w:szCs w:val="24"/>
      <w:w w:val="100"/>
      <w:color w:val="000000"/>
      <w:position w:val="0"/>
    </w:rPr>
  </w:style>
  <w:style w:type="character" w:customStyle="1" w:styleId="CharStyle18">
    <w:name w:val="Основной текст"/>
    <w:basedOn w:val="CharStyle8"/>
    <w:rPr>
      <w:lang w:val="en-US" w:eastAsia="en-US" w:bidi="en-US"/>
      <w:sz w:val="24"/>
      <w:szCs w:val="24"/>
      <w:w w:val="100"/>
      <w:color w:val="000000"/>
      <w:position w:val="0"/>
    </w:rPr>
  </w:style>
  <w:style w:type="character" w:customStyle="1" w:styleId="CharStyle19">
    <w:name w:val="Основной текст + Курсив,Интервал 0 pt"/>
    <w:basedOn w:val="CharStyle8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Основной текст"/>
    <w:basedOn w:val="CharStyle8"/>
    <w:rPr>
      <w:lang w:val="ru-RU" w:eastAsia="ru-RU" w:bidi="ru-RU"/>
      <w:sz w:val="24"/>
      <w:szCs w:val="24"/>
      <w:w w:val="100"/>
      <w:color w:val="000000"/>
      <w:position w:val="0"/>
    </w:rPr>
  </w:style>
  <w:style w:type="character" w:customStyle="1" w:styleId="CharStyle21">
    <w:name w:val="Основной текст + 11,5 pt,Полужирный,Интервал 0 pt"/>
    <w:basedOn w:val="CharStyle8"/>
    <w:rPr>
      <w:lang w:val="ru-RU" w:eastAsia="ru-RU" w:bidi="ru-RU"/>
      <w:b/>
      <w:bCs/>
      <w:sz w:val="23"/>
      <w:szCs w:val="23"/>
      <w:w w:val="100"/>
      <w:spacing w:val="15"/>
      <w:color w:val="000000"/>
      <w:position w:val="0"/>
    </w:rPr>
  </w:style>
  <w:style w:type="character" w:customStyle="1" w:styleId="CharStyle23">
    <w:name w:val="Колонтитул_"/>
    <w:basedOn w:val="DefaultParagraphFont"/>
    <w:link w:val="Style22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4">
    <w:name w:val="Основной текст + Полужирный,Интервал 0 pt"/>
    <w:basedOn w:val="CharStyle8"/>
    <w:rPr>
      <w:lang w:val="ru-RU" w:eastAsia="ru-RU" w:bidi="ru-RU"/>
      <w:b/>
      <w:bCs/>
      <w:sz w:val="24"/>
      <w:szCs w:val="24"/>
      <w:w w:val="100"/>
      <w:spacing w:val="1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180" w:line="281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6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180" w:after="9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113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spacing w:before="960" w:after="420" w:line="331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"/>
    </w:rPr>
  </w:style>
  <w:style w:type="paragraph" w:customStyle="1" w:styleId="Style11">
    <w:name w:val="Подпись к картинке (2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Bookman Old Style" w:eastAsia="Bookman Old Style" w:hAnsi="Bookman Old Style" w:cs="Bookman Old Style"/>
      <w:spacing w:val="-5"/>
    </w:rPr>
  </w:style>
  <w:style w:type="paragraph" w:customStyle="1" w:styleId="Style14">
    <w:name w:val="Подпись к картинке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"/>
    </w:rPr>
  </w:style>
  <w:style w:type="paragraph" w:customStyle="1" w:styleId="Style22">
    <w:name w:val="Колонтитул"/>
    <w:basedOn w:val="Normal"/>
    <w:link w:val="CharStyle2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